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17E" w:rsidRDefault="005B517E" w:rsidP="005B517E">
      <w:pPr>
        <w:rPr>
          <w:b/>
          <w:bCs/>
          <w:u w:val="single"/>
        </w:rPr>
      </w:pPr>
      <w:r>
        <w:rPr>
          <w:b/>
          <w:bCs/>
          <w:u w:val="single"/>
        </w:rPr>
        <w:t xml:space="preserve">ERCOT Opinions – </w:t>
      </w:r>
      <w:r w:rsidR="007C5D8F">
        <w:rPr>
          <w:b/>
          <w:bCs/>
          <w:u w:val="single"/>
        </w:rPr>
        <w:t>January 29, 2015</w:t>
      </w:r>
      <w:r>
        <w:rPr>
          <w:b/>
          <w:bCs/>
          <w:u w:val="single"/>
        </w:rPr>
        <w:t xml:space="preserve"> TAC</w:t>
      </w:r>
    </w:p>
    <w:p w:rsidR="005B517E" w:rsidRDefault="005B517E" w:rsidP="005B517E">
      <w:pPr>
        <w:rPr>
          <w:b/>
          <w:bCs/>
          <w:u w:val="single"/>
        </w:rPr>
      </w:pPr>
    </w:p>
    <w:tbl>
      <w:tblPr>
        <w:tblW w:w="14220" w:type="dxa"/>
        <w:tblInd w:w="108" w:type="dxa"/>
        <w:tblCellMar>
          <w:left w:w="0" w:type="dxa"/>
          <w:right w:w="0" w:type="dxa"/>
        </w:tblCellMar>
        <w:tblLook w:val="04A0" w:firstRow="1" w:lastRow="0" w:firstColumn="1" w:lastColumn="0" w:noHBand="0" w:noVBand="1"/>
      </w:tblPr>
      <w:tblGrid>
        <w:gridCol w:w="984"/>
        <w:gridCol w:w="9366"/>
        <w:gridCol w:w="3870"/>
      </w:tblGrid>
      <w:tr w:rsidR="007C5D8F" w:rsidTr="007C5D8F">
        <w:trPr>
          <w:trHeight w:val="510"/>
        </w:trPr>
        <w:tc>
          <w:tcPr>
            <w:tcW w:w="984" w:type="dxa"/>
            <w:tcBorders>
              <w:top w:val="single" w:sz="8" w:space="0" w:color="auto"/>
              <w:left w:val="single" w:sz="8" w:space="0" w:color="auto"/>
              <w:bottom w:val="single" w:sz="8" w:space="0" w:color="auto"/>
              <w:right w:val="single" w:sz="8" w:space="0" w:color="auto"/>
            </w:tcBorders>
            <w:shd w:val="clear" w:color="auto" w:fill="1F497D"/>
            <w:tcMar>
              <w:top w:w="0" w:type="dxa"/>
              <w:left w:w="108" w:type="dxa"/>
              <w:bottom w:w="0" w:type="dxa"/>
              <w:right w:w="108" w:type="dxa"/>
            </w:tcMar>
            <w:hideMark/>
          </w:tcPr>
          <w:p w:rsidR="007C5D8F" w:rsidRDefault="007C5D8F">
            <w:pPr>
              <w:spacing w:line="276" w:lineRule="auto"/>
              <w:rPr>
                <w:b/>
                <w:bCs/>
                <w:color w:val="FFFFFF"/>
                <w:sz w:val="20"/>
                <w:szCs w:val="20"/>
              </w:rPr>
            </w:pPr>
            <w:r>
              <w:rPr>
                <w:b/>
                <w:bCs/>
                <w:color w:val="FFFFFF"/>
                <w:sz w:val="20"/>
                <w:szCs w:val="20"/>
              </w:rPr>
              <w:t>REV REQ NO.</w:t>
            </w:r>
          </w:p>
        </w:tc>
        <w:tc>
          <w:tcPr>
            <w:tcW w:w="9366"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7C5D8F" w:rsidRDefault="007C5D8F">
            <w:pPr>
              <w:spacing w:line="276" w:lineRule="auto"/>
              <w:rPr>
                <w:b/>
                <w:bCs/>
                <w:color w:val="FFFFFF"/>
                <w:sz w:val="20"/>
                <w:szCs w:val="20"/>
              </w:rPr>
            </w:pPr>
            <w:r>
              <w:rPr>
                <w:b/>
                <w:bCs/>
                <w:color w:val="FFFFFF"/>
                <w:sz w:val="20"/>
                <w:szCs w:val="20"/>
              </w:rPr>
              <w:t>DESCRIPTION</w:t>
            </w:r>
          </w:p>
        </w:tc>
        <w:tc>
          <w:tcPr>
            <w:tcW w:w="3870"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7C5D8F" w:rsidRDefault="007C5D8F">
            <w:pPr>
              <w:spacing w:line="276" w:lineRule="auto"/>
              <w:rPr>
                <w:b/>
                <w:bCs/>
                <w:color w:val="FFFFFF"/>
                <w:sz w:val="20"/>
                <w:szCs w:val="20"/>
              </w:rPr>
            </w:pPr>
            <w:r>
              <w:rPr>
                <w:b/>
                <w:bCs/>
                <w:color w:val="FFFFFF"/>
                <w:sz w:val="20"/>
                <w:szCs w:val="20"/>
              </w:rPr>
              <w:t>ERCOT Opinion</w:t>
            </w:r>
          </w:p>
        </w:tc>
      </w:tr>
      <w:tr w:rsidR="007C5D8F" w:rsidTr="007C5D8F">
        <w:trPr>
          <w:trHeight w:val="1186"/>
        </w:trPr>
        <w:tc>
          <w:tcPr>
            <w:tcW w:w="9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5D8F" w:rsidRDefault="007C5D8F">
            <w:pPr>
              <w:spacing w:line="276" w:lineRule="auto"/>
              <w:rPr>
                <w:b/>
                <w:bCs/>
                <w:color w:val="000000"/>
                <w:sz w:val="20"/>
                <w:szCs w:val="20"/>
              </w:rPr>
            </w:pPr>
            <w:r>
              <w:rPr>
                <w:b/>
                <w:bCs/>
                <w:color w:val="000000"/>
                <w:sz w:val="20"/>
                <w:szCs w:val="20"/>
              </w:rPr>
              <w:t>641NPRR</w:t>
            </w:r>
          </w:p>
        </w:tc>
        <w:tc>
          <w:tcPr>
            <w:tcW w:w="9366" w:type="dxa"/>
            <w:tcBorders>
              <w:top w:val="nil"/>
              <w:left w:val="nil"/>
              <w:bottom w:val="single" w:sz="8" w:space="0" w:color="auto"/>
              <w:right w:val="single" w:sz="8" w:space="0" w:color="auto"/>
            </w:tcBorders>
            <w:tcMar>
              <w:top w:w="0" w:type="dxa"/>
              <w:left w:w="108" w:type="dxa"/>
              <w:bottom w:w="0" w:type="dxa"/>
              <w:right w:w="108" w:type="dxa"/>
            </w:tcMar>
            <w:hideMark/>
          </w:tcPr>
          <w:p w:rsidR="007C5D8F" w:rsidRDefault="007C5D8F">
            <w:pPr>
              <w:spacing w:line="276" w:lineRule="auto"/>
              <w:rPr>
                <w:b/>
                <w:bCs/>
                <w:color w:val="000000"/>
                <w:sz w:val="20"/>
                <w:szCs w:val="20"/>
              </w:rPr>
            </w:pPr>
            <w:r>
              <w:rPr>
                <w:b/>
                <w:bCs/>
                <w:color w:val="000000"/>
                <w:sz w:val="20"/>
                <w:szCs w:val="20"/>
              </w:rPr>
              <w:t xml:space="preserve">Season Definition Change for Switchable Resources Reporting Unavailable Capacity.   </w:t>
            </w:r>
            <w:r>
              <w:rPr>
                <w:color w:val="000000"/>
                <w:sz w:val="20"/>
                <w:szCs w:val="20"/>
              </w:rPr>
              <w:t>This Nodal Protocol Revision Request (NPRR) replaces the phrase “Peak Period,” used in Section 16.5.4 for Resource Entity reporting on Switchable Generation Resource availability, with the existing defined term, Peak Load Season. [ERCOT]</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7C5D8F" w:rsidRDefault="007C5D8F">
            <w:pPr>
              <w:spacing w:line="276" w:lineRule="auto"/>
              <w:rPr>
                <w:color w:val="000000"/>
                <w:sz w:val="20"/>
                <w:szCs w:val="20"/>
              </w:rPr>
            </w:pPr>
            <w:r>
              <w:rPr>
                <w:sz w:val="20"/>
                <w:szCs w:val="20"/>
              </w:rPr>
              <w:t>ERCOT supports approval of NPRR641 (ERCOT submitted NPRR)</w:t>
            </w:r>
          </w:p>
        </w:tc>
      </w:tr>
      <w:tr w:rsidR="007C5D8F" w:rsidTr="007C5D8F">
        <w:trPr>
          <w:trHeight w:val="1915"/>
        </w:trPr>
        <w:tc>
          <w:tcPr>
            <w:tcW w:w="9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5D8F" w:rsidRDefault="007C5D8F">
            <w:pPr>
              <w:spacing w:line="276" w:lineRule="auto"/>
              <w:rPr>
                <w:b/>
                <w:bCs/>
                <w:color w:val="000000"/>
                <w:sz w:val="20"/>
                <w:szCs w:val="20"/>
              </w:rPr>
            </w:pPr>
            <w:r>
              <w:rPr>
                <w:b/>
                <w:bCs/>
                <w:color w:val="000000"/>
                <w:sz w:val="20"/>
                <w:szCs w:val="20"/>
              </w:rPr>
              <w:t>660NPRR</w:t>
            </w:r>
          </w:p>
        </w:tc>
        <w:tc>
          <w:tcPr>
            <w:tcW w:w="9366" w:type="dxa"/>
            <w:tcBorders>
              <w:top w:val="nil"/>
              <w:left w:val="nil"/>
              <w:bottom w:val="single" w:sz="8" w:space="0" w:color="auto"/>
              <w:right w:val="single" w:sz="8" w:space="0" w:color="auto"/>
            </w:tcBorders>
            <w:tcMar>
              <w:top w:w="0" w:type="dxa"/>
              <w:left w:w="108" w:type="dxa"/>
              <w:bottom w:w="0" w:type="dxa"/>
              <w:right w:w="108" w:type="dxa"/>
            </w:tcMar>
            <w:hideMark/>
          </w:tcPr>
          <w:p w:rsidR="007C5D8F" w:rsidRDefault="007C5D8F">
            <w:pPr>
              <w:spacing w:line="276" w:lineRule="auto"/>
              <w:rPr>
                <w:b/>
                <w:bCs/>
                <w:color w:val="000000"/>
                <w:sz w:val="20"/>
                <w:szCs w:val="20"/>
              </w:rPr>
            </w:pPr>
            <w:r>
              <w:rPr>
                <w:b/>
                <w:bCs/>
                <w:color w:val="000000"/>
                <w:sz w:val="20"/>
                <w:szCs w:val="20"/>
              </w:rPr>
              <w:t xml:space="preserve">Remove CRR State Change Adder. </w:t>
            </w:r>
            <w:r>
              <w:rPr>
                <w:color w:val="000000"/>
                <w:sz w:val="20"/>
                <w:szCs w:val="20"/>
              </w:rPr>
              <w:t>This Nodal Protocol Revision Request (NPRR) deletes references to the State Change Adder component of the Congestion Revenue Right (CRR) Obligation credit calculation.  Removal of the State Change Adder is proposed since there is no benchmark by which eligible CRR Obligation paths could be identified or the value of the State Change adjustment quantified.  The State Change Adder was originally included as part of NPRR484, Revisions to Congestion Revenue Rights Credit Calculations and Payments, however, the initial system implementation of NPRR484 did not include the State Change Adder. [ERCOT]</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7C5D8F" w:rsidRDefault="007C5D8F">
            <w:pPr>
              <w:spacing w:line="276" w:lineRule="auto"/>
              <w:rPr>
                <w:sz w:val="20"/>
                <w:szCs w:val="20"/>
              </w:rPr>
            </w:pPr>
            <w:r>
              <w:rPr>
                <w:sz w:val="20"/>
                <w:szCs w:val="20"/>
              </w:rPr>
              <w:t>ERCOT supports approval of NPRR660 (ERCOT submitted NPRR)</w:t>
            </w:r>
          </w:p>
        </w:tc>
      </w:tr>
      <w:tr w:rsidR="007C5D8F" w:rsidTr="007C5D8F">
        <w:trPr>
          <w:trHeight w:val="1817"/>
        </w:trPr>
        <w:tc>
          <w:tcPr>
            <w:tcW w:w="9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5D8F" w:rsidRDefault="007C5D8F">
            <w:pPr>
              <w:spacing w:line="276" w:lineRule="auto"/>
              <w:rPr>
                <w:b/>
                <w:bCs/>
                <w:color w:val="000000"/>
                <w:sz w:val="20"/>
                <w:szCs w:val="20"/>
              </w:rPr>
            </w:pPr>
            <w:r>
              <w:rPr>
                <w:b/>
                <w:bCs/>
                <w:color w:val="000000"/>
                <w:sz w:val="20"/>
                <w:szCs w:val="20"/>
              </w:rPr>
              <w:t>669NPRR</w:t>
            </w:r>
          </w:p>
        </w:tc>
        <w:tc>
          <w:tcPr>
            <w:tcW w:w="9366" w:type="dxa"/>
            <w:tcBorders>
              <w:top w:val="nil"/>
              <w:left w:val="nil"/>
              <w:bottom w:val="single" w:sz="8" w:space="0" w:color="auto"/>
              <w:right w:val="single" w:sz="8" w:space="0" w:color="auto"/>
            </w:tcBorders>
            <w:tcMar>
              <w:top w:w="0" w:type="dxa"/>
              <w:left w:w="108" w:type="dxa"/>
              <w:bottom w:w="0" w:type="dxa"/>
              <w:right w:w="108" w:type="dxa"/>
            </w:tcMar>
            <w:hideMark/>
          </w:tcPr>
          <w:p w:rsidR="007C5D8F" w:rsidRDefault="007C5D8F">
            <w:pPr>
              <w:spacing w:line="276" w:lineRule="auto"/>
              <w:rPr>
                <w:b/>
                <w:bCs/>
                <w:color w:val="000000"/>
                <w:sz w:val="20"/>
                <w:szCs w:val="20"/>
              </w:rPr>
            </w:pPr>
            <w:r>
              <w:rPr>
                <w:b/>
                <w:bCs/>
                <w:color w:val="000000"/>
                <w:sz w:val="20"/>
                <w:szCs w:val="20"/>
              </w:rPr>
              <w:t xml:space="preserve">Maintaining Frequency Responsiveness from Generation Resources Providing RRS. </w:t>
            </w:r>
            <w:r>
              <w:rPr>
                <w:color w:val="000000"/>
                <w:sz w:val="20"/>
                <w:szCs w:val="20"/>
              </w:rPr>
              <w:t xml:space="preserve">This Nodal Protocol Revision Request (NPRR) aligns Protocol language with the 2015 Ancillary Service Methodology.  </w:t>
            </w:r>
            <w:r>
              <w:rPr>
                <w:color w:val="000000"/>
                <w:sz w:val="20"/>
                <w:szCs w:val="20"/>
              </w:rPr>
              <w:br/>
            </w:r>
            <w:r>
              <w:rPr>
                <w:color w:val="000000"/>
                <w:sz w:val="20"/>
                <w:szCs w:val="20"/>
              </w:rPr>
              <w:br/>
              <w:t>On 10/23/14, TAC unanimously endorsed the 2015 Ancillary Service Methodology with the provision that the Responsive Reserve (RRS) quantities for 2015 will be based on a 20% limitation to be effective beginning on June 1, 2015.  [ERCOT]</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7C5D8F" w:rsidRDefault="007C5D8F">
            <w:pPr>
              <w:spacing w:line="276" w:lineRule="auto"/>
              <w:rPr>
                <w:sz w:val="20"/>
                <w:szCs w:val="20"/>
              </w:rPr>
            </w:pPr>
            <w:r>
              <w:rPr>
                <w:sz w:val="20"/>
                <w:szCs w:val="20"/>
              </w:rPr>
              <w:t>ERCOT supports approval of NPRR669 (ERCOT submitted NPRR)</w:t>
            </w:r>
          </w:p>
        </w:tc>
      </w:tr>
      <w:tr w:rsidR="007C5D8F" w:rsidTr="007C5D8F">
        <w:trPr>
          <w:trHeight w:val="790"/>
        </w:trPr>
        <w:tc>
          <w:tcPr>
            <w:tcW w:w="9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5D8F" w:rsidRDefault="007C5D8F">
            <w:pPr>
              <w:spacing w:line="276" w:lineRule="auto"/>
              <w:rPr>
                <w:b/>
                <w:bCs/>
                <w:color w:val="000000"/>
                <w:sz w:val="20"/>
                <w:szCs w:val="20"/>
              </w:rPr>
            </w:pPr>
            <w:r>
              <w:rPr>
                <w:b/>
                <w:bCs/>
                <w:color w:val="000000"/>
                <w:sz w:val="20"/>
                <w:szCs w:val="20"/>
              </w:rPr>
              <w:t>783SCR</w:t>
            </w:r>
          </w:p>
        </w:tc>
        <w:tc>
          <w:tcPr>
            <w:tcW w:w="9366" w:type="dxa"/>
            <w:tcBorders>
              <w:top w:val="nil"/>
              <w:left w:val="nil"/>
              <w:bottom w:val="single" w:sz="8" w:space="0" w:color="auto"/>
              <w:right w:val="single" w:sz="8" w:space="0" w:color="auto"/>
            </w:tcBorders>
            <w:tcMar>
              <w:top w:w="0" w:type="dxa"/>
              <w:left w:w="108" w:type="dxa"/>
              <w:bottom w:w="0" w:type="dxa"/>
              <w:right w:w="108" w:type="dxa"/>
            </w:tcMar>
            <w:hideMark/>
          </w:tcPr>
          <w:p w:rsidR="007C5D8F" w:rsidRDefault="007C5D8F">
            <w:pPr>
              <w:spacing w:line="276" w:lineRule="auto"/>
              <w:rPr>
                <w:b/>
                <w:bCs/>
                <w:color w:val="000000"/>
                <w:sz w:val="20"/>
                <w:szCs w:val="20"/>
              </w:rPr>
            </w:pPr>
            <w:r>
              <w:rPr>
                <w:b/>
                <w:bCs/>
                <w:sz w:val="20"/>
                <w:szCs w:val="20"/>
              </w:rPr>
              <w:t>Outage Scheduler Enhancements – Group 2, Usability and Filtering Enhancements.</w:t>
            </w:r>
            <w:r>
              <w:rPr>
                <w:sz w:val="20"/>
                <w:szCs w:val="20"/>
              </w:rPr>
              <w:t xml:space="preserve"> This System Change Request (SCR) will provide usability and filtering enhancements. [ERCOT]</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7C5D8F" w:rsidRDefault="007C5D8F">
            <w:pPr>
              <w:spacing w:line="276" w:lineRule="auto"/>
              <w:rPr>
                <w:sz w:val="20"/>
                <w:szCs w:val="20"/>
              </w:rPr>
            </w:pPr>
            <w:r>
              <w:rPr>
                <w:sz w:val="20"/>
                <w:szCs w:val="20"/>
              </w:rPr>
              <w:t xml:space="preserve">ERCOT supports approval of SCR783 </w:t>
            </w:r>
          </w:p>
          <w:p w:rsidR="007C5D8F" w:rsidRDefault="007C5D8F">
            <w:pPr>
              <w:spacing w:line="276" w:lineRule="auto"/>
              <w:rPr>
                <w:sz w:val="20"/>
                <w:szCs w:val="20"/>
              </w:rPr>
            </w:pPr>
            <w:bookmarkStart w:id="0" w:name="_GoBack"/>
            <w:bookmarkEnd w:id="0"/>
            <w:r>
              <w:rPr>
                <w:sz w:val="20"/>
                <w:szCs w:val="20"/>
              </w:rPr>
              <w:t>(ERCOT submitted SCR)</w:t>
            </w:r>
          </w:p>
        </w:tc>
      </w:tr>
      <w:tr w:rsidR="007C5D8F" w:rsidTr="007C5D8F">
        <w:trPr>
          <w:trHeight w:val="2599"/>
        </w:trPr>
        <w:tc>
          <w:tcPr>
            <w:tcW w:w="9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5D8F" w:rsidRDefault="007C5D8F">
            <w:pPr>
              <w:spacing w:line="276" w:lineRule="auto"/>
              <w:rPr>
                <w:b/>
                <w:bCs/>
                <w:color w:val="000000"/>
                <w:sz w:val="20"/>
                <w:szCs w:val="20"/>
              </w:rPr>
            </w:pPr>
            <w:r>
              <w:rPr>
                <w:b/>
                <w:bCs/>
                <w:color w:val="000000"/>
                <w:sz w:val="20"/>
                <w:szCs w:val="20"/>
              </w:rPr>
              <w:t>219NPRR</w:t>
            </w:r>
          </w:p>
        </w:tc>
        <w:tc>
          <w:tcPr>
            <w:tcW w:w="9366" w:type="dxa"/>
            <w:tcBorders>
              <w:top w:val="nil"/>
              <w:left w:val="nil"/>
              <w:bottom w:val="single" w:sz="8" w:space="0" w:color="auto"/>
              <w:right w:val="single" w:sz="8" w:space="0" w:color="auto"/>
            </w:tcBorders>
            <w:tcMar>
              <w:top w:w="0" w:type="dxa"/>
              <w:left w:w="108" w:type="dxa"/>
              <w:bottom w:w="0" w:type="dxa"/>
              <w:right w:w="108" w:type="dxa"/>
            </w:tcMar>
            <w:hideMark/>
          </w:tcPr>
          <w:p w:rsidR="007C5D8F" w:rsidRDefault="007C5D8F">
            <w:pPr>
              <w:spacing w:line="276" w:lineRule="auto"/>
              <w:rPr>
                <w:sz w:val="20"/>
                <w:szCs w:val="20"/>
              </w:rPr>
            </w:pPr>
            <w:r>
              <w:rPr>
                <w:b/>
                <w:bCs/>
                <w:sz w:val="20"/>
                <w:szCs w:val="20"/>
              </w:rPr>
              <w:t>NPRR219, Resolution of Alignment Items A33, A92, A106, and A150 - TSPs Must Submit Outages for Resource Owned Equipment and Clarification of Changes in Status of Transmission Element Postings</w:t>
            </w:r>
            <w:r>
              <w:rPr>
                <w:sz w:val="20"/>
                <w:szCs w:val="20"/>
              </w:rPr>
              <w:t xml:space="preserve"> This Nodal Protocol Revision Request (NPRR) will require the Resource Entity to designate a Transmission Service Provider (TSP) as the responsible Entity that will manage Outage Scheduler entries for the Resource Entity for Transmission Elements owned by the Resource other than the outage of the Generation or Load Resource itself. This NPRR will also require all changes or expected changes in the status of Transmission Facilities to be in the Outage Scheduler to ensure that all Outages in the Outage Scheduler are provided to the Market Information System (MIS).  [ERCOT]</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7C5D8F" w:rsidRDefault="007C5D8F">
            <w:pPr>
              <w:spacing w:line="276" w:lineRule="auto"/>
              <w:rPr>
                <w:sz w:val="20"/>
                <w:szCs w:val="20"/>
              </w:rPr>
            </w:pPr>
            <w:r>
              <w:rPr>
                <w:sz w:val="20"/>
                <w:szCs w:val="20"/>
              </w:rPr>
              <w:t>ERCOT supports approval of NPRR219 (ERCOT submitted NPRR)</w:t>
            </w:r>
          </w:p>
        </w:tc>
      </w:tr>
    </w:tbl>
    <w:p w:rsidR="00BA690B" w:rsidRDefault="00BA690B"/>
    <w:sectPr w:rsidR="00BA690B" w:rsidSect="005B517E">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3"/>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17E"/>
    <w:rsid w:val="003C4AF0"/>
    <w:rsid w:val="00450F64"/>
    <w:rsid w:val="005B517E"/>
    <w:rsid w:val="006F4E90"/>
    <w:rsid w:val="007C5D8F"/>
    <w:rsid w:val="00BA6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17E"/>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B517E"/>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17E"/>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B517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730570">
      <w:bodyDiv w:val="1"/>
      <w:marLeft w:val="0"/>
      <w:marRight w:val="0"/>
      <w:marTop w:val="0"/>
      <w:marBottom w:val="0"/>
      <w:divBdr>
        <w:top w:val="none" w:sz="0" w:space="0" w:color="auto"/>
        <w:left w:val="none" w:sz="0" w:space="0" w:color="auto"/>
        <w:bottom w:val="none" w:sz="0" w:space="0" w:color="auto"/>
        <w:right w:val="none" w:sz="0" w:space="0" w:color="auto"/>
      </w:divBdr>
    </w:div>
    <w:div w:id="124245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408</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Albracht, Brittney</dc:creator>
  <cp:lastModifiedBy>Albracht, Brittney</cp:lastModifiedBy>
  <cp:revision>3</cp:revision>
  <dcterms:created xsi:type="dcterms:W3CDTF">2015-01-21T21:24:00Z</dcterms:created>
  <dcterms:modified xsi:type="dcterms:W3CDTF">2015-01-21T21:25:00Z</dcterms:modified>
</cp:coreProperties>
</file>